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27DC6">
      <w:pPr>
        <w:pStyle w:val="Patvirtinta"/>
        <w:spacing w:line="283" w:lineRule="auto"/>
        <w:rPr>
          <w:sz w:val="22"/>
          <w:szCs w:val="22"/>
          <w:lang w:val="lt-LT"/>
        </w:rPr>
      </w:pPr>
      <w:bookmarkStart w:id="0" w:name="_GoBack"/>
      <w:bookmarkEnd w:id="0"/>
    </w:p>
    <w:p w:rsidR="00000000" w:rsidRDefault="00527DC6">
      <w:pPr>
        <w:pStyle w:val="Patvirtinta"/>
        <w:spacing w:line="283" w:lineRule="auto"/>
        <w:ind w:left="504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Ataskaitų apie savivaldybių aplinkos oro</w:t>
      </w:r>
    </w:p>
    <w:p w:rsidR="00000000" w:rsidRDefault="00527DC6">
      <w:pPr>
        <w:pStyle w:val="Patvirtinta"/>
        <w:spacing w:line="283" w:lineRule="auto"/>
        <w:ind w:left="504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kokybės valdymo programų ir jų įgyvendinimo</w:t>
      </w:r>
    </w:p>
    <w:p w:rsidR="00000000" w:rsidRDefault="00527DC6">
      <w:pPr>
        <w:pStyle w:val="Patvirtinta"/>
        <w:spacing w:line="283" w:lineRule="auto"/>
        <w:ind w:left="504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planų vykdymą teikimo tvarkos aprašo</w:t>
      </w:r>
    </w:p>
    <w:p w:rsidR="00000000" w:rsidRDefault="00527DC6">
      <w:pPr>
        <w:pStyle w:val="Patvirtinta"/>
        <w:spacing w:line="283" w:lineRule="auto"/>
        <w:ind w:left="504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priedas</w:t>
      </w:r>
    </w:p>
    <w:p w:rsidR="00000000" w:rsidRDefault="00527DC6">
      <w:pPr>
        <w:pStyle w:val="Linija"/>
        <w:rPr>
          <w:sz w:val="22"/>
          <w:szCs w:val="22"/>
          <w:lang w:val="lt-LT"/>
        </w:rPr>
      </w:pPr>
    </w:p>
    <w:p w:rsidR="00000000" w:rsidRDefault="00527DC6">
      <w:pPr>
        <w:pStyle w:val="CentrBoldm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(Ataskaitų apie aplinkos oro kokybės valdymo programų </w:t>
      </w:r>
    </w:p>
    <w:p w:rsidR="00000000" w:rsidRDefault="00527DC6">
      <w:pPr>
        <w:pStyle w:val="CentrBoldm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ir jos įgyvendinimo priemonių planų vykdymą pateikimo forma)</w:t>
      </w:r>
    </w:p>
    <w:p w:rsidR="00000000" w:rsidRDefault="00527DC6">
      <w:pPr>
        <w:pStyle w:val="Linija"/>
        <w:rPr>
          <w:sz w:val="22"/>
          <w:szCs w:val="22"/>
          <w:lang w:val="lt-LT"/>
        </w:rPr>
      </w:pPr>
    </w:p>
    <w:p w:rsidR="00000000" w:rsidRDefault="00527DC6">
      <w:pPr>
        <w:pStyle w:val="CentrBold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ŠIAULIŲ</w:t>
      </w:r>
      <w:r>
        <w:rPr>
          <w:sz w:val="22"/>
          <w:szCs w:val="22"/>
          <w:lang w:val="lt-LT"/>
        </w:rPr>
        <w:t xml:space="preserve"> MIESTO SAVIVALDYBĖS Ataskaita APIE aplinkos oro kokybės valdymo</w:t>
      </w:r>
      <w:r>
        <w:rPr>
          <w:sz w:val="22"/>
          <w:szCs w:val="22"/>
          <w:u w:val="single"/>
          <w:lang w:val="lt-LT"/>
        </w:rPr>
        <w:t xml:space="preserve"> programos</w:t>
      </w:r>
      <w:r>
        <w:rPr>
          <w:sz w:val="22"/>
          <w:szCs w:val="22"/>
          <w:lang w:val="lt-LT"/>
        </w:rPr>
        <w:t xml:space="preserve"> / patikslintos </w:t>
      </w:r>
      <w:r>
        <w:rPr>
          <w:sz w:val="22"/>
          <w:szCs w:val="22"/>
          <w:lang w:val="lt-LT"/>
        </w:rPr>
        <w:br/>
        <w:t>programos ir jos įgyvendinimo priemonių plano vykdymą</w:t>
      </w:r>
    </w:p>
    <w:p w:rsidR="00000000" w:rsidRDefault="00527DC6">
      <w:pPr>
        <w:pStyle w:val="Linija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1. Ataskaitinis laikotarpis: __</w:t>
      </w:r>
      <w:r>
        <w:rPr>
          <w:sz w:val="22"/>
          <w:szCs w:val="22"/>
          <w:u w:val="single"/>
          <w:lang w:val="lt-LT"/>
        </w:rPr>
        <w:t>2011 - 2013 m.</w:t>
      </w:r>
    </w:p>
    <w:p w:rsidR="00000000" w:rsidRDefault="00527DC6">
      <w:pPr>
        <w:pStyle w:val="Linija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2. Informacija apie aplinkos oro kokybės valdymo programos ir j</w:t>
      </w:r>
      <w:r>
        <w:rPr>
          <w:sz w:val="22"/>
          <w:szCs w:val="22"/>
          <w:lang w:val="lt-LT"/>
        </w:rPr>
        <w:t>os įgyvendinimo priemonių plano</w:t>
      </w:r>
      <w:r>
        <w:rPr>
          <w:caps/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vykdymą</w:t>
      </w:r>
    </w:p>
    <w:tbl>
      <w:tblPr>
        <w:tblW w:w="144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77"/>
        <w:gridCol w:w="1440"/>
        <w:gridCol w:w="1980"/>
        <w:gridCol w:w="4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Numatytos įgyvendinti priemonės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Numatytas įgyvendinimo terminas </w:t>
            </w:r>
            <w:r>
              <w:rPr>
                <w:sz w:val="22"/>
                <w:szCs w:val="22"/>
                <w:lang w:val="lt-LT"/>
              </w:rPr>
              <w:t>(jeigu numatytas)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Priemonės vykdymo eiga </w:t>
            </w:r>
            <w:r>
              <w:rPr>
                <w:sz w:val="22"/>
                <w:szCs w:val="22"/>
                <w:lang w:val="lt-LT"/>
              </w:rPr>
              <w:t>(įgyvendinta, neįgyvendinta, įgyvendinta iš dalies)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Pastabos</w:t>
            </w:r>
          </w:p>
          <w:p w:rsidR="00000000" w:rsidRDefault="00527DC6">
            <w:pPr>
              <w:pStyle w:val="NormalParagraphStyle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(priemonių neįgyvendinimo ar įgyvendi</w:t>
            </w:r>
            <w:r>
              <w:rPr>
                <w:sz w:val="22"/>
                <w:szCs w:val="22"/>
                <w:lang w:val="lt-LT"/>
              </w:rPr>
              <w:t>nimo iš dalies priežastys, numatyti veiksmai priemonei įgyvendinti)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Techninės priemonės aplinkos oro užterštumui mieste mažinti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Pavasarį nutirpus sniegui nedelsiant organizuoti miesto B ir C kategorijų gatvėse susikaupusio purvo surinkimą ir išvež</w:t>
            </w:r>
            <w:r>
              <w:rPr>
                <w:color w:val="000000"/>
                <w:lang w:val="lt-LT"/>
              </w:rPr>
              <w:t xml:space="preserve">imą, o išvežus purvą, organizuoti  šių gatvių </w:t>
            </w:r>
            <w:r>
              <w:rPr>
                <w:bCs/>
                <w:color w:val="000000"/>
                <w:lang w:val="lt-LT"/>
              </w:rPr>
              <w:t>ir šaligatvių</w:t>
            </w:r>
            <w:r>
              <w:rPr>
                <w:color w:val="000000"/>
                <w:lang w:val="lt-LT"/>
              </w:rPr>
              <w:t xml:space="preserve"> nuplovimą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Kasmet</w:t>
            </w:r>
          </w:p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pavasarį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Pagrindinistekstas2"/>
            </w:pPr>
            <w:r>
              <w:t>Kovo–spalio mėnesiais, jei yra sausi, be kritulių orai, reguliariai plauti centrinės miesto dalies gatves:</w:t>
            </w:r>
          </w:p>
          <w:p w:rsidR="00000000" w:rsidRDefault="00527DC6">
            <w:pPr>
              <w:snapToGrid w:val="0"/>
              <w:spacing w:line="100" w:lineRule="atLeast"/>
              <w:ind w:left="-108" w:right="-8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kai oro tarša KD10 neviršija normų</w:t>
            </w:r>
          </w:p>
          <w:p w:rsidR="00000000" w:rsidRDefault="00527DC6">
            <w:pPr>
              <w:snapToGrid w:val="0"/>
              <w:spacing w:line="100" w:lineRule="atLeast"/>
              <w:ind w:left="720"/>
              <w:rPr>
                <w:lang w:val="lt-LT"/>
              </w:rPr>
            </w:pPr>
          </w:p>
          <w:p w:rsidR="00000000" w:rsidRDefault="00527DC6">
            <w:pPr>
              <w:snapToGrid w:val="0"/>
              <w:spacing w:line="100" w:lineRule="atLeast"/>
              <w:ind w:left="36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    kai or</w:t>
            </w:r>
            <w:r>
              <w:rPr>
                <w:color w:val="000000"/>
                <w:lang w:val="lt-LT"/>
              </w:rPr>
              <w:t>o  tarša  KD10  viršija  normas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lastRenderedPageBreak/>
              <w:t>Kasmet kovo–spalio mėnesiais;</w:t>
            </w:r>
          </w:p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 kartus per </w:t>
            </w:r>
            <w:r>
              <w:rPr>
                <w:color w:val="000000"/>
                <w:lang w:val="lt-LT"/>
              </w:rPr>
              <w:lastRenderedPageBreak/>
              <w:t>savaitę;</w:t>
            </w:r>
          </w:p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kasdien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lastRenderedPageBreak/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3.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 xml:space="preserve">Kovo–spalio mėnesiais, jei yra sausi ir vėjuoti orai organizuoti miesto žaliųjų plotų prie B ir C kategorijų gatvių laistymą / drėkinimą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Nuolat</w:t>
            </w:r>
          </w:p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nu</w:t>
            </w:r>
            <w:r>
              <w:t>o kovo iki spalio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4.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>Vykdyti centrinės miesto dalies gatvių periodišką mechanizuotą valymą vakuuminiu būdu kartu su drėkinimu pagal parengtas optimalias gatvių mechanizuoto valymo schemas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5.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>Žiemą miesto gatvėms bars</w:t>
            </w:r>
            <w:r>
              <w:rPr>
                <w:lang w:val="lt-LT"/>
              </w:rPr>
              <w:t xml:space="preserve">tyti naudoti skaldelę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Nuolat</w:t>
            </w:r>
          </w:p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žiemos laikotarpiu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6.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 xml:space="preserve">Įrengti naujas asfaltbetonio dangas žvyruotose miesto gatvėse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Kasmet pagal skiriamas lėšas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Priemonė įgyvendinama pagal skiriamas lėšas, 2012 metais išasfaltuota dalis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Gumbinės gatvės, 2013 m. – Liepų g.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7.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color w:val="000000"/>
                <w:shd w:val="clear" w:color="auto" w:fill="FFFFFF"/>
                <w:lang w:val="lt-LT"/>
              </w:rPr>
            </w:pPr>
            <w:r>
              <w:rPr>
                <w:lang w:val="lt-LT"/>
              </w:rPr>
              <w:t>Atnaujinti miesto gatvių, šaligatvių (pėsčiųjų takų) ir dviračių takų susidėvėjusias (suirusias, deformuotas) kietąsias dangas</w:t>
            </w:r>
            <w:r>
              <w:rPr>
                <w:color w:val="000000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Kasmet </w:t>
            </w:r>
          </w:p>
          <w:p w:rsidR="00000000" w:rsidRDefault="00527DC6">
            <w:pPr>
              <w:snapToGrid w:val="0"/>
              <w:spacing w:line="100" w:lineRule="atLeast"/>
              <w:jc w:val="center"/>
              <w:rPr>
                <w:lang w:val="lt-LT"/>
              </w:rPr>
            </w:pPr>
          </w:p>
          <w:p w:rsidR="00000000" w:rsidRDefault="00527DC6">
            <w:pPr>
              <w:snapToGrid w:val="0"/>
              <w:spacing w:line="100" w:lineRule="atLeast"/>
              <w:jc w:val="center"/>
              <w:rPr>
                <w:lang w:val="lt-LT"/>
              </w:rPr>
            </w:pPr>
          </w:p>
          <w:p w:rsidR="00000000" w:rsidRDefault="00527DC6">
            <w:pPr>
              <w:snapToGrid w:val="0"/>
              <w:spacing w:line="100" w:lineRule="atLeast"/>
              <w:jc w:val="center"/>
              <w:rPr>
                <w:lang w:val="lt-LT"/>
              </w:rPr>
            </w:pPr>
            <w:r>
              <w:rPr>
                <w:lang w:val="lt-LT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Priemonė įgyvendinama kasmet ir toliau bus įgyvend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inama pagal skiriamas lėšas.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8.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Pagrindinistekstas"/>
              <w:snapToGrid w:val="0"/>
              <w:spacing w:line="100" w:lineRule="atLeast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Atnaujinant autobusų parką, įsigyti aštuonis gamtinėmis dujomis ar kitu ekologišku būdu varomus autobusus</w:t>
            </w:r>
          </w:p>
          <w:p w:rsidR="00000000" w:rsidRDefault="00527DC6">
            <w:pPr>
              <w:pStyle w:val="Pagrindinistekstas"/>
              <w:snapToGrid w:val="0"/>
              <w:spacing w:line="100" w:lineRule="atLeast"/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Įgyvendinta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9.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Pagrindinistekstas"/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>Įrengti naujus ir atnaujinti esamus dviračių takus, stotelių paviljonus, įvažas į stoteles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</w:t>
            </w:r>
            <w:r>
              <w:t>11</w:t>
            </w:r>
          </w:p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Priemonė įgyvendinta pagal skiriamas lėšas (įrengtas Vyturių g. dviračių takas). Pagal pasirašytą sutartį, iki 2015 metų 3 ketvirčio turi būti nutiestas dviračių takas Tilžės g.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10.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xl41"/>
              <w:snapToGrid w:val="0"/>
              <w:spacing w:line="100" w:lineRule="atLeast"/>
              <w:ind w:firstLine="960"/>
              <w:rPr>
                <w:lang w:val="lt-LT"/>
              </w:rPr>
            </w:pPr>
            <w:r>
              <w:rPr>
                <w:lang w:val="lt-LT"/>
              </w:rPr>
              <w:t>Kontroliuoti autobusų su dyzeliniais varik</w:t>
            </w:r>
            <w:r>
              <w:rPr>
                <w:lang w:val="lt-LT"/>
              </w:rPr>
              <w:t>liais išmetamųjų dujų dūmingumą ir neišleisti važiuoti autobusų, viršijančių dūmingumo ribas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xl41"/>
              <w:tabs>
                <w:tab w:val="left" w:pos="2400"/>
                <w:tab w:val="left" w:pos="3690"/>
              </w:tabs>
              <w:snapToGrid w:val="0"/>
              <w:spacing w:line="100" w:lineRule="atLeast"/>
              <w:ind w:firstLine="960"/>
              <w:jc w:val="center"/>
              <w:rPr>
                <w:lang w:val="lt-LT"/>
              </w:rPr>
            </w:pPr>
            <w:r>
              <w:rPr>
                <w:lang w:val="lt-LT"/>
              </w:rPr>
              <w:t>Ne rečiau, kaip du kartus per metus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</w:rPr>
              <w:t>Organizacinės priemonės aplinkos oro užterštumui mieste mažinti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11.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Organizuoti bendrus VTS (pagal ATPK 160-</w:t>
            </w:r>
            <w:r>
              <w:rPr>
                <w:bCs/>
                <w:lang w:val="lt-LT"/>
              </w:rPr>
              <w:t>1) ir policijos reidus išaiškinant kelio dangos ir aplinkos užteršimą, vežant krovinius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12.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snapToGrid w:val="0"/>
              <w:spacing w:line="100" w:lineRule="atLeast"/>
            </w:pPr>
            <w:r>
              <w:t>Savivaldybės sutartyse su rangovais ir paslaugų teikėjais numatyti teisės aktuose reikalaujamas priemones aplinkos apsaugai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Nuolat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13.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snapToGrid w:val="0"/>
              <w:spacing w:line="100" w:lineRule="atLeast"/>
            </w:pPr>
            <w:r>
              <w:t>Populiarinti dviračių ir visuomeninį transportą – organizuoti Europos judriajai savaitei ir dienai be automobilio skirtus renginius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Nuolat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14.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Gavus informaciją apie oro kokybės tyrimų duomenis ir viršytą kietųjų dalelių paros ribinę ve</w:t>
            </w:r>
            <w:r>
              <w:rPr>
                <w:color w:val="000000"/>
                <w:lang w:val="lt-LT"/>
              </w:rPr>
              <w:t>rtę mieste, turimomis komunikacijos priemonėmis informuoti gyventojus, kokią įtaką tai daro jų sveikatai, ir teikti rekomendacijas, kaip elgtis padidėjusio aplinkos užterštumo atvejais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Nedelsiant, gavus informaciją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15.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>Informuoti ir šviesti g</w:t>
            </w:r>
            <w:r>
              <w:rPr>
                <w:lang w:val="lt-LT"/>
              </w:rPr>
              <w:t>yventojus apie netinkamai  deginamo kuro pavojų sveikatai, apie draudimą deginti atliekas (straipsniai spaudoje, radijo / televizijos laidos,  atmintinės)</w:t>
            </w:r>
          </w:p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16.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Pagrindinistekstas"/>
              <w:snapToGrid w:val="0"/>
              <w:spacing w:line="100" w:lineRule="atLeast"/>
              <w:jc w:val="left"/>
              <w:rPr>
                <w:lang w:val="lt-LT"/>
              </w:rPr>
            </w:pPr>
            <w:r>
              <w:rPr>
                <w:lang w:val="lt-LT"/>
              </w:rPr>
              <w:t>Optimizuoti autobusų maršrutų grafikus taip, kad vietoje didesnių autobusų, k</w:t>
            </w:r>
            <w:r>
              <w:rPr>
                <w:lang w:val="lt-LT"/>
              </w:rPr>
              <w:t>urie naudoja daugiau degalų, keleivius vežtų mažiau degalų naudojantys autobusai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 xml:space="preserve">Nuolat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17.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snapToGrid w:val="0"/>
              <w:spacing w:line="100" w:lineRule="atLeas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Atlikti transporto srautų tyrimus ir, atsižvelgiant į tyrimų rezultatus, parengti eismo organizavimo planą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  <w:lang w:val="lt-LT"/>
              </w:rPr>
              <w:t>Transporto sra</w:t>
            </w:r>
            <w:r>
              <w:rPr>
                <w:rFonts w:ascii="Times New Roman" w:hAnsi="Times New Roman"/>
                <w:color w:val="auto"/>
                <w:shd w:val="clear" w:color="auto" w:fill="FFFFFF"/>
                <w:lang w:val="lt-LT"/>
              </w:rPr>
              <w:t>utų tyrimai buvo atliekami atskirose atkarpose pagal poreikį. Planuojama, jog priemonė bus įgyvendinta parengus transporto organizavimo specialųjį planą (sutartis dėl plano parengimo pasirašyta 2014-03-21, įgyvendinimo terminas – 360 kalendorinių dienų).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18.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 xml:space="preserve">Identifikuoti kietųjų dalelių (KD10) sudėtį,  šaltinius ir priežastis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2011 metais pasirašyta sutartis kietųjų dalelių sudėčiai, priežastims nustatyti, tačiau dėl užduoties sudėtingumo sutartiniai įsipareigojimai nebuvo visiš</w:t>
            </w:r>
            <w:r>
              <w:rPr>
                <w:lang w:val="lt-LT"/>
              </w:rPr>
              <w:t xml:space="preserve">kai įvykdyti.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19.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snapToGrid w:val="0"/>
              <w:spacing w:line="100" w:lineRule="atLeast"/>
            </w:pPr>
            <w:r>
              <w:t xml:space="preserve">Vykdyti Šiaulių miesto  aplinkos oro kokybės stebėseną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Nuolat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20.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rPr>
                <w:lang w:val="lt-LT"/>
              </w:rPr>
            </w:pPr>
            <w:r>
              <w:rPr>
                <w:lang w:val="lt-LT"/>
              </w:rPr>
              <w:t>Papildyti Šiaulių miesto tvarkymo ir švaros taisykles specialiaisiais reikalavimais oro apsaugai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snapToGrid w:val="0"/>
              <w:spacing w:line="100" w:lineRule="atLeast"/>
              <w:jc w:val="center"/>
              <w:rPr>
                <w:lang w:val="lt-LT"/>
              </w:rPr>
            </w:pPr>
            <w:r>
              <w:rPr>
                <w:lang w:val="lt-LT"/>
              </w:rPr>
              <w:t>2011</w:t>
            </w:r>
          </w:p>
          <w:p w:rsidR="00000000" w:rsidRDefault="00527DC6">
            <w:pPr>
              <w:snapToGrid w:val="0"/>
              <w:spacing w:line="100" w:lineRule="atLeast"/>
              <w:jc w:val="center"/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jc w:val="both"/>
              <w:rPr>
                <w:bCs/>
                <w:szCs w:val="28"/>
                <w:lang w:val="lt-LT"/>
              </w:rPr>
            </w:pPr>
            <w:r>
              <w:rPr>
                <w:bCs/>
                <w:szCs w:val="28"/>
                <w:lang w:val="lt-LT"/>
              </w:rPr>
              <w:t>Reikalavimai oro apsaugai ta</w:t>
            </w:r>
            <w:r>
              <w:rPr>
                <w:bCs/>
                <w:szCs w:val="28"/>
                <w:lang w:val="lt-LT"/>
              </w:rPr>
              <w:t>ikomi tretiesiems asmenims ir įtraukiami į sutartis, perkant darbus ir paslaugas. Viešosios tvarkos skyrius nuolat vykdo prevencinį darbą dėl atliekų, žolės, durpynų deginimo. Draudimas deginti atliekas įrašytas Savivaldybės atliekų tvarkymo taisyklėse.</w:t>
            </w:r>
          </w:p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bCs/>
                <w:szCs w:val="28"/>
                <w:lang w:val="lt-LT"/>
              </w:rPr>
              <w:t>Ne</w:t>
            </w:r>
            <w:r>
              <w:rPr>
                <w:bCs/>
                <w:szCs w:val="28"/>
                <w:lang w:val="lt-LT"/>
              </w:rPr>
              <w:t>tikslinga šiais reikalavimais pildyti Taisykles, nes pažeidimų nagrinėti ir administracinių nuobaudų taikyti Savivaldybės administracija negalės.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21.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BasicParagraph"/>
              <w:snapToGrid w:val="0"/>
              <w:spacing w:line="100" w:lineRule="atLeast"/>
            </w:pPr>
            <w:r>
              <w:t>Koreguoti Šiaulių miesto šilumos ūkio specialųjį planą, numatyti zonas, kuriose šilumos gamybai nenaudoti</w:t>
            </w:r>
            <w:r>
              <w:t>nos kietojo kuro rūšys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tabs>
                <w:tab w:val="left" w:pos="2400"/>
                <w:tab w:val="left" w:pos="3690"/>
              </w:tabs>
              <w:snapToGrid w:val="0"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Įgyvendinta iš dalies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Dėl biudžeto lėšų stygiaus priemonė pradėta įgyvendinti 2013 metais, 2013-04-30 pasirašius sutartį dėl šilumos ūkio specialaus plano koregavimo. Numatoma priemonės įgyvendinimo pabaiga – 2014 m. 4 ketvirtis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 - 2015 m. 3 ketvirtis.</w:t>
            </w:r>
            <w:r>
              <w:rPr>
                <w:lang w:val="lt-LT"/>
              </w:rPr>
              <w:t xml:space="preserve"> Pirkimo dokumentuose numatyta, kad specialiajame plane būtų numatytos zonos, kuriose šildymui bus nenaudojamos kieto kuro rūšys.</w:t>
            </w:r>
          </w:p>
        </w:tc>
      </w:tr>
    </w:tbl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3. Informacija apie gatvių slidumo mažinimui sunaudotų medžiagų kiekį</w:t>
      </w:r>
    </w:p>
    <w:tbl>
      <w:tblPr>
        <w:tblW w:w="6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00"/>
        <w:gridCol w:w="1660"/>
        <w:gridCol w:w="1060"/>
      </w:tblGrid>
      <w:tr w:rsidR="00000000">
        <w:trPr>
          <w:trHeight w:val="171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Gatvių slidumą mažinančios medž</w:t>
            </w: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iagos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Laikotarpis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Sunaudotas kiekis, 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Pastabos</w:t>
            </w:r>
          </w:p>
        </w:tc>
      </w:tr>
      <w:tr w:rsidR="00000000">
        <w:trPr>
          <w:cantSplit/>
          <w:trHeight w:val="33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1. Smėlio ir druskos mišinys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2010-2011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765,36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2011-2012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2012-2013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2013-2014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VISO: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765,36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2. Druska (druskos tirpalas)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2010-2011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2 355,23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2011-2012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1 985,62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2012-20</w:t>
            </w:r>
            <w:r>
              <w:rPr>
                <w:color w:val="000000"/>
                <w:sz w:val="22"/>
                <w:szCs w:val="22"/>
                <w:lang w:val="lt-LT"/>
              </w:rPr>
              <w:t>13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2 646,28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2013-2014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1 494,45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VISO: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8481,58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3. Granito skaldos – druskos mišinys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2010-2011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2011-2012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2012-2013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505,9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2013-2014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341,24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VISO: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1500,14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4. Kitos medžiagos: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2010-2011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2011-2012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2012</w:t>
            </w:r>
            <w:r>
              <w:rPr>
                <w:color w:val="000000"/>
                <w:sz w:val="22"/>
                <w:szCs w:val="22"/>
                <w:lang w:val="lt-LT"/>
              </w:rPr>
              <w:t>-2013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7DC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2013-2014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VISO (1+2+3):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00000" w:rsidRDefault="00527DC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10747,08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000000" w:rsidRDefault="00527DC6">
            <w:pPr>
              <w:rPr>
                <w:rFonts w:ascii="Times" w:eastAsia="Arial Unicode M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 </w:t>
            </w:r>
          </w:p>
        </w:tc>
      </w:tr>
    </w:tbl>
    <w:p w:rsidR="00000000" w:rsidRDefault="00527DC6">
      <w:pPr>
        <w:pStyle w:val="Linija"/>
        <w:jc w:val="left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4. Informacija apie gatvių išvalymą nuo šaltuoju metų laikotarpiu susikaupusių medžiagų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3217"/>
        <w:gridCol w:w="1886"/>
        <w:gridCol w:w="21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Nuo gatvių važiuojamosios dalies ir jų prieigų nuvalytos medžiagos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Laikotarpis, per kurį buvo išvalytos gatvė</w:t>
            </w:r>
            <w:r>
              <w:rPr>
                <w:b/>
                <w:bCs/>
                <w:sz w:val="22"/>
                <w:szCs w:val="22"/>
                <w:lang w:val="lt-LT"/>
              </w:rPr>
              <w:t xml:space="preserve">s, nurodant valymo pradžios ir pabaigos datą 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Surinktas kiekis, t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Pastabos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Purvas ir kt. liekanos, susikaupę šaltuoju metų laikotarpiu </w:t>
            </w:r>
          </w:p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2011 m. kovo-gegužės mėn.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1253,72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Gatvių valymas pradedamas nedelsiant, kai tik leidžia oro sąlygos.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</w:trPr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2012 m. kovo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-gegužės mėn.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1761,46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</w:trPr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2013 m. balandžio-gegužės mėn.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1146,24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rmalParagraphStyle"/>
              <w:spacing w:before="120"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2014 m. kovo-gegužės mėn.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644,36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27DC6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</w:p>
        </w:tc>
      </w:tr>
    </w:tbl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5. Informacija apie kitas priemones, kurių buvo imtasi kietųjų dalelių KD</w:t>
      </w:r>
      <w:r>
        <w:rPr>
          <w:sz w:val="22"/>
          <w:szCs w:val="22"/>
          <w:vertAlign w:val="subscript"/>
          <w:lang w:val="lt-LT"/>
        </w:rPr>
        <w:t>10</w:t>
      </w:r>
      <w:r>
        <w:rPr>
          <w:sz w:val="22"/>
          <w:szCs w:val="22"/>
          <w:lang w:val="lt-LT"/>
        </w:rPr>
        <w:t> koncentracijai aplinkos ore mažinti.</w:t>
      </w:r>
    </w:p>
    <w:p w:rsidR="00000000" w:rsidRDefault="00527DC6">
      <w:pPr>
        <w:ind w:left="360"/>
        <w:rPr>
          <w:lang w:val="lt-LT"/>
        </w:rPr>
      </w:pPr>
      <w:r>
        <w:rPr>
          <w:lang w:val="lt-LT"/>
        </w:rPr>
        <w:t xml:space="preserve">5.1. Optimizuojama viešojo transporto </w:t>
      </w:r>
      <w:r>
        <w:rPr>
          <w:lang w:val="lt-LT"/>
        </w:rPr>
        <w:t>sistema. 2013 m padaryti teisiniai sprendimai dėl mikroautobusų teikti viešojo transporto paslaugas apribojimo.</w:t>
      </w:r>
    </w:p>
    <w:p w:rsidR="00000000" w:rsidRDefault="00527DC6">
      <w:pPr>
        <w:ind w:left="360"/>
        <w:rPr>
          <w:lang w:val="lt-LT"/>
        </w:rPr>
      </w:pPr>
      <w:r>
        <w:rPr>
          <w:lang w:val="lt-LT"/>
        </w:rPr>
        <w:t xml:space="preserve">5.2. Centrinėje miesto dalyje apmokestinamas transporto priemonių stovėjimas. Tikimąsi, jog tai sumažins transporto eismą labiausiai užterštoje </w:t>
      </w:r>
      <w:r>
        <w:rPr>
          <w:lang w:val="lt-LT"/>
        </w:rPr>
        <w:t>centrinėje miesto dalyje.</w:t>
      </w:r>
    </w:p>
    <w:p w:rsidR="00000000" w:rsidRDefault="00527DC6">
      <w:pPr>
        <w:ind w:left="360"/>
        <w:rPr>
          <w:lang w:val="lt-LT"/>
        </w:rPr>
      </w:pPr>
      <w:r>
        <w:rPr>
          <w:lang w:val="lt-LT"/>
        </w:rPr>
        <w:t>5.3 Kasmet sodinami nauji želdiniai prie miesto gatvių ir kitose miesto vietose.</w:t>
      </w:r>
    </w:p>
    <w:p w:rsidR="00000000" w:rsidRDefault="00527DC6">
      <w:pPr>
        <w:ind w:left="360"/>
        <w:rPr>
          <w:lang w:val="lt-LT"/>
        </w:rPr>
      </w:pPr>
      <w:r>
        <w:rPr>
          <w:lang w:val="lt-LT"/>
        </w:rPr>
        <w:t xml:space="preserve">5.4. </w:t>
      </w:r>
      <w:r>
        <w:t>Įrengtas Šiaulių miesto pietinis aplinkkelis, kuris sudarė galimybes sumažinti tranzitinio krovininio transporto srautus per centrinę Šiaulių mi</w:t>
      </w:r>
      <w:r>
        <w:t>esto dalį;</w:t>
      </w:r>
    </w:p>
    <w:p w:rsidR="00000000" w:rsidRDefault="00527DC6">
      <w:pPr>
        <w:rPr>
          <w:lang w:val="lt-LT"/>
        </w:rPr>
      </w:pPr>
      <w:r>
        <w:rPr>
          <w:lang w:val="lt-LT"/>
        </w:rPr>
        <w:t xml:space="preserve"> </w:t>
      </w:r>
    </w:p>
    <w:p w:rsidR="00000000" w:rsidRDefault="00527DC6">
      <w:pPr>
        <w:pStyle w:val="MAZAS"/>
        <w:ind w:firstLine="0"/>
        <w:rPr>
          <w:sz w:val="22"/>
          <w:szCs w:val="22"/>
          <w:lang w:val="lt-LT"/>
        </w:rPr>
      </w:pP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u w:val="single"/>
          <w:lang w:val="lt-LT"/>
        </w:rPr>
      </w:pPr>
      <w:r>
        <w:rPr>
          <w:sz w:val="22"/>
          <w:szCs w:val="22"/>
          <w:lang w:val="lt-LT"/>
        </w:rPr>
        <w:t>Ataskaitos rengėjas (pagal skyrių pateiktą informaciją)__________________</w:t>
      </w:r>
      <w:r>
        <w:rPr>
          <w:sz w:val="22"/>
          <w:szCs w:val="22"/>
          <w:u w:val="single"/>
          <w:lang w:val="lt-LT"/>
        </w:rPr>
        <w:t>Eglė Bružienė, Aplinkos skyriaus vedėjo pavaduotoja.</w:t>
      </w: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u w:val="single"/>
          <w:lang w:val="lt-LT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  <w:u w:val="single"/>
          <w:lang w:val="lt-LT"/>
        </w:rPr>
        <w:t xml:space="preserve">      Andrius Androsovas, Miesto infrastruktūros skyriaus vedėjo pavaduotojas.</w:t>
      </w:r>
    </w:p>
    <w:p w:rsidR="00000000" w:rsidRDefault="00527DC6">
      <w:pPr>
        <w:pStyle w:val="Bodytext"/>
        <w:spacing w:line="283" w:lineRule="auto"/>
        <w:ind w:firstLine="0"/>
        <w:jc w:val="center"/>
      </w:pPr>
      <w:r>
        <w:rPr>
          <w:vertAlign w:val="superscript"/>
        </w:rPr>
        <w:t xml:space="preserve">         (parašas, vardas ir pavardė, pareigos)</w:t>
      </w:r>
    </w:p>
    <w:p w:rsidR="00000000" w:rsidRDefault="00527DC6">
      <w:pPr>
        <w:pStyle w:val="Bodytext"/>
        <w:spacing w:line="283" w:lineRule="auto"/>
        <w:ind w:firstLine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Ataskaitos parengimo data: </w:t>
      </w:r>
      <w:r>
        <w:rPr>
          <w:sz w:val="22"/>
          <w:szCs w:val="22"/>
          <w:u w:val="single"/>
          <w:lang w:val="lt-LT"/>
        </w:rPr>
        <w:t>2014 m.</w:t>
      </w:r>
      <w:r>
        <w:rPr>
          <w:sz w:val="22"/>
          <w:szCs w:val="22"/>
          <w:lang w:val="lt-LT"/>
        </w:rPr>
        <w:t>_</w:t>
      </w:r>
      <w:r>
        <w:rPr>
          <w:sz w:val="22"/>
          <w:szCs w:val="22"/>
          <w:u w:val="single"/>
          <w:lang w:val="lt-LT"/>
        </w:rPr>
        <w:t>gegužės 30</w:t>
      </w:r>
      <w:r>
        <w:rPr>
          <w:sz w:val="22"/>
          <w:szCs w:val="22"/>
          <w:lang w:val="lt-LT"/>
        </w:rPr>
        <w:t xml:space="preserve"> d.</w:t>
      </w:r>
    </w:p>
    <w:p w:rsidR="00000000" w:rsidRDefault="00527DC6">
      <w:pPr>
        <w:pStyle w:val="Linija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</w:t>
      </w:r>
    </w:p>
    <w:p w:rsidR="00000000" w:rsidRDefault="00527DC6"/>
    <w:p w:rsidR="00527DC6" w:rsidRDefault="00527DC6"/>
    <w:sectPr w:rsidR="00527DC6">
      <w:footerReference w:type="even" r:id="rId6"/>
      <w:footerReference w:type="default" r:id="rId7"/>
      <w:pgSz w:w="16838" w:h="11906" w:orient="landscape" w:code="9"/>
      <w:pgMar w:top="567" w:right="1134" w:bottom="89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C6" w:rsidRDefault="00527DC6">
      <w:r>
        <w:separator/>
      </w:r>
    </w:p>
  </w:endnote>
  <w:endnote w:type="continuationSeparator" w:id="0">
    <w:p w:rsidR="00527DC6" w:rsidRDefault="005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7DC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0000" w:rsidRDefault="00527DC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7DC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000000" w:rsidRDefault="00527DC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C6" w:rsidRDefault="00527DC6">
      <w:r>
        <w:separator/>
      </w:r>
    </w:p>
  </w:footnote>
  <w:footnote w:type="continuationSeparator" w:id="0">
    <w:p w:rsidR="00527DC6" w:rsidRDefault="0052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B85"/>
    <w:rsid w:val="00527DC6"/>
    <w:rsid w:val="006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1029-2037-45D8-AA3A-181A91A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pPr>
      <w:suppressAutoHyphens/>
    </w:pPr>
    <w:rPr>
      <w:rFonts w:ascii="Times New Roman" w:hAnsi="Times New Roman"/>
    </w:rPr>
  </w:style>
  <w:style w:type="paragraph" w:customStyle="1" w:styleId="Linija">
    <w:name w:val="Linija"/>
    <w:basedOn w:val="MAZAS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Noparagraphstyle"/>
    <w:pPr>
      <w:suppressAutoHyphens/>
      <w:spacing w:line="298" w:lineRule="auto"/>
      <w:ind w:firstLine="312"/>
      <w:jc w:val="both"/>
    </w:pPr>
    <w:rPr>
      <w:rFonts w:ascii="Times New Roman" w:hAnsi="Times New Roman"/>
      <w:sz w:val="8"/>
      <w:szCs w:val="8"/>
    </w:rPr>
  </w:style>
  <w:style w:type="paragraph" w:customStyle="1" w:styleId="Bodytext">
    <w:name w:val="Body text"/>
    <w:basedOn w:val="Noparagraphstyle"/>
    <w:pPr>
      <w:suppressAutoHyphens/>
      <w:spacing w:line="298" w:lineRule="auto"/>
      <w:ind w:firstLine="312"/>
      <w:jc w:val="both"/>
    </w:pPr>
    <w:rPr>
      <w:rFonts w:ascii="Times New Roman" w:hAnsi="Times New Roman"/>
      <w:sz w:val="20"/>
      <w:szCs w:val="20"/>
    </w:rPr>
  </w:style>
  <w:style w:type="paragraph" w:customStyle="1" w:styleId="CentrBold">
    <w:name w:val="CentrBold"/>
    <w:basedOn w:val="Noparagraphstyle"/>
    <w:pPr>
      <w:keepLines/>
      <w:suppressAutoHyphens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Patvirtinta">
    <w:name w:val="Patvirtinta"/>
    <w:basedOn w:val="Noparagraphstyl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/>
      <w:sz w:val="20"/>
      <w:szCs w:val="20"/>
    </w:rPr>
  </w:style>
  <w:style w:type="paragraph" w:customStyle="1" w:styleId="CentrBoldm">
    <w:name w:val="CentrBoldm"/>
    <w:basedOn w:val="CentrBold"/>
    <w:rPr>
      <w:caps w:val="0"/>
    </w:rPr>
  </w:style>
  <w:style w:type="character" w:customStyle="1" w:styleId="Absatz-Standardschriftart">
    <w:name w:val="Absatz-Standardschriftart"/>
  </w:style>
  <w:style w:type="paragraph" w:styleId="Pagrindinistekstas">
    <w:name w:val="Body Text"/>
    <w:basedOn w:val="prastasis"/>
    <w:semiHidden/>
    <w:pPr>
      <w:suppressAutoHyphens/>
      <w:jc w:val="both"/>
    </w:pPr>
    <w:rPr>
      <w:lang w:eastAsia="ar-SA"/>
    </w:rPr>
  </w:style>
  <w:style w:type="paragraph" w:customStyle="1" w:styleId="BasicParagraph">
    <w:name w:val="[Basic Paragraph]"/>
    <w:basedOn w:val="Noparagraphstyle"/>
    <w:pPr>
      <w:suppressAutoHyphens/>
      <w:autoSpaceDN/>
      <w:adjustRightInd/>
    </w:pPr>
    <w:rPr>
      <w:rFonts w:ascii="Times New Roman" w:eastAsia="Arial" w:hAnsi="Times New Roman"/>
      <w:lang w:val="lt-LT" w:eastAsia="ar-SA"/>
    </w:rPr>
  </w:style>
  <w:style w:type="character" w:customStyle="1" w:styleId="Numatytasispastraiposriftas4">
    <w:name w:val="Numatytasis pastraipos šriftas4"/>
  </w:style>
  <w:style w:type="character" w:customStyle="1" w:styleId="WW-Numatytasispastraiposriftas">
    <w:name w:val="WW-Numatytasis pastraipos šriftas"/>
  </w:style>
  <w:style w:type="paragraph" w:customStyle="1" w:styleId="xl41">
    <w:name w:val="xl41"/>
    <w:basedOn w:val="prastasis"/>
    <w:pPr>
      <w:pBdr>
        <w:right w:val="single" w:sz="4" w:space="0" w:color="000000"/>
      </w:pBdr>
      <w:spacing w:before="100" w:beforeAutospacing="1" w:after="100" w:afterAutospacing="1"/>
      <w:ind w:firstLineChars="400"/>
      <w:textAlignment w:val="top"/>
    </w:pPr>
    <w:rPr>
      <w:rFonts w:eastAsia="Arial Unicode M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2">
    <w:name w:val="Body Text 2"/>
    <w:basedOn w:val="prastasis"/>
    <w:semiHidden/>
    <w:pPr>
      <w:snapToGrid w:val="0"/>
      <w:spacing w:line="100" w:lineRule="atLeast"/>
      <w:ind w:right="-8"/>
    </w:pPr>
    <w:rPr>
      <w:color w:val="00000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5344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Ataskaitų apie savivaldybių aplinkos oro</vt:lpstr>
      <vt:lpstr>Ataskaitų apie savivaldybių aplinkos oro</vt:lpstr>
    </vt:vector>
  </TitlesOfParts>
  <Company>Siauliu miesto administracija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Ataskaitų apie savivaldybių aplinkos oro</dc:title>
  <dc:subject/>
  <dc:creator>egle.bruziene</dc:creator>
  <cp:keywords/>
  <dc:description/>
  <cp:lastModifiedBy>Toma Vilutienė</cp:lastModifiedBy>
  <cp:revision>2</cp:revision>
  <cp:lastPrinted>2014-05-29T13:04:00Z</cp:lastPrinted>
  <dcterms:created xsi:type="dcterms:W3CDTF">2019-09-11T13:03:00Z</dcterms:created>
  <dcterms:modified xsi:type="dcterms:W3CDTF">2019-09-11T13:03:00Z</dcterms:modified>
</cp:coreProperties>
</file>