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2018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METŲ </w:t>
      </w:r>
      <w:r w:rsidR="00C72AB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LIEPOS </w:t>
      </w: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MĖNESIO TARYBOS NARIŲ LANKOMUMO SUVESTINĖ </w:t>
      </w: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16185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0"/>
        <w:gridCol w:w="426"/>
        <w:gridCol w:w="424"/>
        <w:gridCol w:w="425"/>
        <w:gridCol w:w="426"/>
        <w:gridCol w:w="421"/>
        <w:gridCol w:w="567"/>
        <w:gridCol w:w="443"/>
        <w:gridCol w:w="446"/>
        <w:gridCol w:w="409"/>
        <w:gridCol w:w="403"/>
        <w:gridCol w:w="453"/>
        <w:gridCol w:w="446"/>
        <w:gridCol w:w="444"/>
        <w:gridCol w:w="432"/>
        <w:gridCol w:w="411"/>
        <w:gridCol w:w="425"/>
        <w:gridCol w:w="419"/>
        <w:gridCol w:w="445"/>
        <w:gridCol w:w="430"/>
        <w:gridCol w:w="444"/>
        <w:gridCol w:w="432"/>
        <w:gridCol w:w="431"/>
        <w:gridCol w:w="431"/>
        <w:gridCol w:w="355"/>
        <w:gridCol w:w="360"/>
        <w:gridCol w:w="439"/>
        <w:gridCol w:w="439"/>
        <w:gridCol w:w="398"/>
        <w:gridCol w:w="400"/>
        <w:gridCol w:w="425"/>
        <w:gridCol w:w="426"/>
        <w:gridCol w:w="130"/>
      </w:tblGrid>
      <w:tr w:rsidR="00BF617F" w:rsidRPr="00BF617F" w:rsidTr="0081220B">
        <w:trPr>
          <w:cantSplit/>
          <w:trHeight w:val="265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30"/>
                <w:szCs w:val="30"/>
                <w:lang w:eastAsia="ar-SA"/>
              </w:rPr>
            </w:pPr>
          </w:p>
        </w:tc>
      </w:tr>
      <w:tr w:rsidR="00BF617F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81220B" w:rsidRDefault="00BF617F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Finansų ir ekonomikos komiteto posėdis</w:t>
            </w:r>
          </w:p>
          <w:p w:rsidR="00BF617F" w:rsidRPr="0081220B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2018-0</w:t>
            </w:r>
            <w:r w:rsidR="00C72AB3"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7</w:t>
            </w: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 w:rsidR="00372E1F"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0</w:t>
            </w:r>
            <w:r w:rsidR="00C72AB3"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C72AB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C72AB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D55505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81220B" w:rsidRDefault="00D55505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Miesto ūkio ir plėtros komiteto posėdis</w:t>
            </w:r>
          </w:p>
          <w:p w:rsidR="00D55505" w:rsidRPr="0081220B" w:rsidRDefault="00D55505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2018-07-</w:t>
            </w:r>
            <w:r w:rsidR="00AF647F"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D55505" w:rsidRPr="00BF617F" w:rsidRDefault="00D55505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1220B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25" w:rsidRPr="0081220B" w:rsidRDefault="00E26E9C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  <w:t>Antikorupcinės komisijos posėdis</w:t>
            </w:r>
          </w:p>
          <w:p w:rsidR="00E26E9C" w:rsidRPr="0081220B" w:rsidRDefault="00E26E9C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2018-07-04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025" w:rsidRPr="00BF617F" w:rsidRDefault="0081220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025" w:rsidRPr="00BF617F" w:rsidRDefault="000111A8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025" w:rsidRPr="00BF617F" w:rsidRDefault="00F13FF8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025" w:rsidRPr="00BF617F" w:rsidRDefault="00C52D90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025" w:rsidRDefault="0081220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025" w:rsidRPr="00BF617F" w:rsidRDefault="00E5428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D12025" w:rsidRPr="00BF617F" w:rsidRDefault="00D12025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D55505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505" w:rsidRPr="0081220B" w:rsidRDefault="00D55505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Tarybos posėdis</w:t>
            </w:r>
          </w:p>
          <w:p w:rsidR="00D55505" w:rsidRPr="0081220B" w:rsidRDefault="00D55505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2018-07-05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FFFFFF" w:themeFill="background1"/>
          </w:tcPr>
          <w:p w:rsidR="00D55505" w:rsidRPr="00BF617F" w:rsidRDefault="00D55505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A76D1C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1C" w:rsidRPr="0081220B" w:rsidRDefault="00A76D1C" w:rsidP="00A76D1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Mokinių priėmimo į Šiaulių miesto savivaldybės bendrojo ugdymo mokyklas tvarkos apraše nustatytų atvejų komisijos posėdis</w:t>
            </w:r>
          </w:p>
          <w:p w:rsidR="00A76D1C" w:rsidRPr="0081220B" w:rsidRDefault="00A76D1C" w:rsidP="00A76D1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2018-07-10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6D1C" w:rsidRPr="00BF617F" w:rsidTr="0081220B">
        <w:trPr>
          <w:trHeight w:val="296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1C" w:rsidRPr="00BF617F" w:rsidRDefault="00A76D1C" w:rsidP="00325B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403D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Darbo grupės dėl </w:t>
            </w:r>
            <w:r w:rsidRPr="00403D67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UAB „Busturas“ profesinės sąjungos „Solidarumas“ 2018 m. gegužės 7 d. atviro busturiečių laiško valdžiai bei 2018 m. gegužės 16 d. ir 2018 m. birželio 7 d. UAB „Busturas“ profesinės sąjungos „Solidarumas“ surengtų mitingų, susidariusios situacijos UAB „Busturas“ įvertinimo ir objektyvių išvadų bei pasiūlymų pateikimo</w:t>
            </w:r>
            <w:r w:rsidR="00BE36A2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posėdis</w:t>
            </w:r>
            <w:r w:rsidRPr="00403D67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.</w:t>
            </w:r>
            <w:r w:rsidR="00325BAE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2018-07-10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D1C" w:rsidRPr="00BF617F" w:rsidRDefault="00A76D1C" w:rsidP="00A76D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613640" w:rsidRPr="00BF617F" w:rsidTr="0081220B">
        <w:trPr>
          <w:trHeight w:val="268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D67" w:rsidRPr="00BF617F" w:rsidRDefault="00403D67" w:rsidP="00403D6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403D67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Default="00403D67" w:rsidP="00403D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Šiaulių miesto savivaldybės administracijos saugaus eismo komisijos posėdis</w:t>
            </w:r>
          </w:p>
          <w:p w:rsidR="00403D67" w:rsidRPr="00BF617F" w:rsidRDefault="00403D67" w:rsidP="00403D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2018-07-11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613640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ir plėtros komiteto posėdis</w:t>
            </w:r>
          </w:p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7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-1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613640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</w:t>
            </w:r>
          </w:p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7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613640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4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-1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AEAAAA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613640" w:rsidRPr="00BF617F" w:rsidTr="0081220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Default="00403D67" w:rsidP="00403D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Medelyno seniūnijos išplėstinis seniūnaičių sueigos posėdis</w:t>
            </w:r>
          </w:p>
          <w:p w:rsidR="00403D67" w:rsidRPr="00BF617F" w:rsidRDefault="00403D67" w:rsidP="00403D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2017-07-17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7A9A" w:rsidRPr="00BF617F" w:rsidTr="0081220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640" w:rsidRPr="00613640" w:rsidRDefault="00613640" w:rsidP="00613640">
            <w:pPr>
              <w:widowControl w:val="0"/>
              <w:tabs>
                <w:tab w:val="left" w:pos="864"/>
                <w:tab w:val="left" w:pos="943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</w:rPr>
            </w:pPr>
            <w:r w:rsidRPr="00613640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</w:rPr>
              <w:t>Tarybos frakcijų seniūnų pasitarimas su Administracijos</w:t>
            </w:r>
          </w:p>
          <w:p w:rsidR="00613640" w:rsidRPr="00613640" w:rsidRDefault="00613640" w:rsidP="00613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13640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</w:rPr>
              <w:t>direktoriumi ir ŠKC rangovu ,,VERSINA“</w:t>
            </w:r>
          </w:p>
          <w:p w:rsidR="00A46E1B" w:rsidRPr="00FB194D" w:rsidRDefault="00A46E1B" w:rsidP="00A46E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FB194D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7</w:t>
            </w:r>
            <w:r w:rsidRPr="00FB194D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1B" w:rsidRDefault="00613640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1B" w:rsidRDefault="00613640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1B" w:rsidRDefault="00613640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6E1B" w:rsidRDefault="00A46E1B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E1B" w:rsidRPr="00BF617F" w:rsidRDefault="00A46E1B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1220B" w:rsidRPr="00BF617F" w:rsidTr="0081220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FB194D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FB194D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Tarybos posėdis</w:t>
            </w:r>
          </w:p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FB194D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7</w:t>
            </w:r>
            <w:r w:rsidRPr="00FB194D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13640" w:rsidRPr="00BF617F" w:rsidTr="0081220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Default="00403D67" w:rsidP="00403D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Etikos komisijos posėdis</w:t>
            </w:r>
          </w:p>
          <w:p w:rsidR="00403D67" w:rsidRPr="00BF617F" w:rsidRDefault="00403D67" w:rsidP="00403D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2018-07-30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BF617F" w:rsidRPr="00BF617F" w:rsidRDefault="00BF617F" w:rsidP="00BF61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ab/>
      </w:r>
    </w:p>
    <w:p w:rsidR="00613640" w:rsidRDefault="00613640" w:rsidP="00ED6006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613640" w:rsidRDefault="00613640" w:rsidP="00ED6006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6628F6" w:rsidRPr="00234B89" w:rsidRDefault="006628F6" w:rsidP="008106D4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</w:t>
      </w:r>
      <w:r w:rsidR="000915E3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7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.0</w:t>
      </w:r>
      <w:r w:rsidR="008106D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8106D4" w:rsidRPr="008106D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Miesto ūkio ir plėtros komiteto posėdis. Nedalyvavo: </w:t>
      </w:r>
      <w:r w:rsidR="008106D4" w:rsidRPr="00234B8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Daiva Matonienė (pranešė elektroniniu paštu, kad nedalyvaus, pridedama), Lukas Žakaris (pranešė elektroniniu paštu, kad bus išvykęs darbo reikalais, pridedama).</w:t>
      </w:r>
    </w:p>
    <w:p w:rsidR="00BF617F" w:rsidRDefault="00372E1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</w:t>
      </w:r>
      <w:r w:rsidR="0011787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7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.0</w:t>
      </w:r>
      <w:r w:rsidR="0011787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4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11787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Antikorupcinės komisijos 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posėdis. Nedalyvavo: </w:t>
      </w:r>
      <w:r w:rsidR="00117879" w:rsidRPr="00E104F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Vladas Artūras Balsys</w:t>
      </w:r>
      <w:r w:rsidR="0011787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372E1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elektroniniu paštu, kad nedalyvaus</w:t>
      </w:r>
      <w:r w:rsidR="0011787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nes bus išvykęs</w:t>
      </w:r>
      <w:r w:rsidRPr="00372E1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 w:rsidR="0011787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Pranciškus Trijonis </w:t>
      </w:r>
      <w:r w:rsidR="00117879" w:rsidRPr="0011787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nedalyvaus nes </w:t>
      </w:r>
      <w:r w:rsidR="0011787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turi skubiai išvykti dėl šeimyninių aplinkybių</w:t>
      </w:r>
      <w:r w:rsidR="00117879" w:rsidRPr="0011787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 w:rsidR="0011787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302BAA" w:rsidRDefault="00302BAA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302BA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2018.07.10 Darbo grupės dėl UAB „Busturas“ profesinės sąjungos „Solidarumas“ 2018 m. gegužės 7 d. atviro busturiečių laiško valdžiai bei 2018 m. gegužės 16 d. ir 2018 m. birželio 7 d. UAB „Busturas“ profesinės sąjungos „Solidarumas“ surengtų mitingų, susidariusios situacijos UAB „Busturas“ įvertinimo ir objektyvių išvadų bei pasiūlymų pateikimo</w:t>
      </w:r>
      <w:r w:rsidR="00325BA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posėdis</w:t>
      </w:r>
      <w:r w:rsidRPr="00302BA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 w:rsidR="00E104F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E104FA" w:rsidRPr="00E104F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Nedalyvavo:</w:t>
      </w:r>
      <w:r w:rsidR="00E104F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E104FA" w:rsidRPr="00E104F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Jonas Bartkus (informavo, kad atostogaus, pridedama).</w:t>
      </w:r>
      <w:r w:rsidR="00E104F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</w:p>
    <w:p w:rsidR="007A69DB" w:rsidRPr="00F149F8" w:rsidRDefault="00F149F8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F149F8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7</w:t>
      </w:r>
      <w:r w:rsidRPr="00F149F8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.16 Miesto ūkio ir plėtros komiteto posėdis. Nedalyvavo: </w:t>
      </w:r>
      <w:r w:rsidRPr="00F149F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Daiva Matonienė (pranešė elektroniniu paštu, kad nedalyvaus, pridedama),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Eligijus Stugys </w:t>
      </w:r>
      <w:r w:rsidRPr="00F149F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elektroniniu paštu, kad nedalyvaus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nes bus išvykęs</w:t>
      </w:r>
      <w:r w:rsidRPr="00F149F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pridedama), Lukas Žakaris (pranešė elektroniniu paštu, kad bus išvykęs darbo reikalais, pridedama).</w:t>
      </w:r>
    </w:p>
    <w:p w:rsidR="00302BAA" w:rsidRDefault="004759C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759C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7</w:t>
      </w:r>
      <w:r w:rsidRPr="004759C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.16 Finansų ir ekonomikos komiteto posėdis. Nedalyvavo: </w:t>
      </w:r>
      <w:r w:rsidRPr="004759C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Jonas Bartkus (informavo, kad </w:t>
      </w:r>
      <w:r w:rsidR="00F1741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nedalyvaus dėl iš anksto suplanuotų </w:t>
      </w:r>
      <w:r w:rsidRPr="004759C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atostog</w:t>
      </w:r>
      <w:r w:rsidR="00F1741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ų ne Lietuvoje</w:t>
      </w:r>
      <w:r w:rsidRPr="004759C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  <w:r w:rsidR="00F1741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Arūnas Rimkus </w:t>
      </w:r>
      <w:r w:rsidR="00AE088D" w:rsidRPr="00AE088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(informavo, kad nedalyvaus</w:t>
      </w:r>
      <w:r w:rsidR="00AE088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nes dirba</w:t>
      </w:r>
      <w:r w:rsidR="00AE088D" w:rsidRPr="00AE088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 w:rsidR="00277C0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6C673A" w:rsidRDefault="006C673A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C673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</w:t>
      </w:r>
      <w:r w:rsidR="00C524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7</w:t>
      </w:r>
      <w:r w:rsidRPr="006C673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.17 Švietimo, kultūros ir sporto komiteto posėdis. Nedalyvavo: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Gediminas Beržinis Beržinskas (pranešė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telefonu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kad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yra išvykęs į komandiruotę)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Angelė Kavaliauskienė 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telefonu, kad yra išvykęs į komandiruotę), </w:t>
      </w:r>
      <w:r w:rsidR="00DC4DA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Regina Kvedarienė </w:t>
      </w:r>
      <w:r w:rsidR="00DC4DAC" w:rsidRPr="00DC4DA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 w:rsidR="00DC4DA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="00DC4DAC" w:rsidRPr="00DC4DA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dalyvaus nes išvyk</w:t>
      </w:r>
      <w:r w:rsidR="00DC4DA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usi</w:t>
      </w:r>
      <w:r w:rsidR="00DC4DAC" w:rsidRPr="00DC4DA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pridedama), 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Aurimas Lankas (pranešė elektroniniu paštu, kad </w:t>
      </w:r>
      <w:r w:rsidR="00DC4DA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dalyvaus nes išvykęs, pridedama)</w:t>
      </w:r>
      <w:r w:rsidR="00DC4DA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F8164C" w:rsidRDefault="00C5247E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C524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2018.07.19 Tarybos posėdis. Nedalyvavo: </w:t>
      </w:r>
      <w:r w:rsidRPr="00C5247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Jonas Bartkus (informavo, kad nedalyvaus dėl iš anksto suplanuotų atostogų ne Lietuvoje, pridedama),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Gintaras Karalevičius </w:t>
      </w:r>
      <w:r w:rsidRPr="00C5247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(informavo, kad nedalyvaus dėl iš anksto suplanuotų atostogų ne Lietuvoje, pridedama),</w:t>
      </w:r>
      <w:r w:rsidR="004640A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Eligijus Stugys </w:t>
      </w:r>
      <w:r w:rsidR="004640A3" w:rsidRPr="004640A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(informavo, kad nedalyvaus ne</w:t>
      </w:r>
      <w:r w:rsidR="004640A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 bus išvykęs iš</w:t>
      </w:r>
      <w:r w:rsidR="004640A3" w:rsidRPr="004640A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Lietuvo</w:t>
      </w:r>
      <w:r w:rsidR="004640A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</w:t>
      </w:r>
      <w:r w:rsidR="004640A3" w:rsidRPr="004640A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 w:rsidR="00F776E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Gedeminas Vyšniauskas </w:t>
      </w:r>
      <w:r w:rsidR="00F776ED" w:rsidRPr="00F776E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(informavo, kad nedalyvaus ne</w:t>
      </w:r>
      <w:r w:rsidR="00F776E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 bus išvykęs į užsienį</w:t>
      </w:r>
      <w:r w:rsidR="00F776ED" w:rsidRPr="00F776E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 w:rsidR="00F776E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7D3DA4" w:rsidRPr="007D3DA4" w:rsidRDefault="007D3DA4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D3DA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2018-07-30 Etikos komisijos posėdis. 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Nedalyvavo: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Vladas Artūras Balsys </w:t>
      </w:r>
      <w:r w:rsidRPr="007D3DA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(informavo, kad nedalyvaus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nes yra atostogose ir planuoja išvykti</w:t>
      </w:r>
      <w:r w:rsidRPr="007D3DA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pridedama),</w:t>
      </w:r>
    </w:p>
    <w:p w:rsidR="007D3DA4" w:rsidRPr="0024518A" w:rsidRDefault="00784504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  <w:r w:rsidRPr="0024518A"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  <w:t>Danguolė Marinkienė</w:t>
      </w:r>
      <w:r w:rsidR="0024518A" w:rsidRPr="0024518A"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  <w:t xml:space="preserve"> apie nedalyvavimą nepranešė, Artūras Kulikauskas apie nedalyvavimą nepranešė. </w:t>
      </w:r>
    </w:p>
    <w:p w:rsidR="00F8164C" w:rsidRPr="004759CF" w:rsidRDefault="00F8164C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Žymėjimas: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107315</wp:posOffset>
                </wp:positionV>
                <wp:extent cx="1031240" cy="361315"/>
                <wp:effectExtent l="0" t="0" r="16510" b="19685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4BB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83.1pt;margin-top:8.45pt;width:81.2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OHJgIAAEkEAAAOAAAAZHJzL2Uyb0RvYy54bWysVMmO2zAMvRfoPwi6N46dZBYjzmCaaYoC&#10;0wWY9gMYWY6FyKIrKbHTry8le9J0uxTVQRBN6pF8j/Lyrm80O0rrFJqCp5MpZ9IILJXZFfzL582r&#10;G86cB1OCRiMLfpKO361evlh2bS4zrFGX0jICMS7v2oLX3rd5kjhRywbcBFtpyFmhbcCTaXdJaaEj&#10;9EYn2XR6lXRoy9aikM7R14fByVcRv6qk8B+ryknPdMGpNh93G/dt2JPVEvKdhbZWYiwD/qGKBpSh&#10;pGeoB/DADlb9BtUoYdFh5ScCmwSrSgkZe6Bu0ukv3TzV0MrYC5Hj2jNN7v/Big/HT5apsuDXnBlo&#10;SKKMebl3HpmGwx5coKhrXU6RTy3F+v419iR1bNe1jyj2jhlc12B28t5a7GoJJZWYhpvJxdUBxwWQ&#10;bfceS8oFB48RqK9sE/gjRhihk1Snszyy90yElNNZms3JJcg3u0pn6SKmgPz5dmudfyuxYeFQcEvy&#10;R3Q4PjofqoH8OSQkc6hVuVFaR8Putmtt2RFoVDZxjeg/hWnDuoLfLrLFQMBfIaZx/QmiUZ5mXqum&#10;4DfnIMgDbW9MGSfSg9LDmUrWZuQxUDeQ6PttP+qyxfJEjFocZpveIh1qtN8462iuC+6+HsBKzvQ7&#10;Q6rcpvNAoY/GfHGdkWEvPdtLDxhBUAX3nA3HtY+PJxBm8J7Uq1QkNsg8VDLWSvMa+R7fVngQl3aM&#10;+vEHWH0HAAD//wMAUEsDBBQABgAIAAAAIQDcntP73gAAAAkBAAAPAAAAZHJzL2Rvd25yZXYueG1s&#10;TI/BTsMwDIbvSLxDZCQuiKW0KOtK0wkhgeA2BoJr1nhtReKUJOvK25Od4OZf/vT7c72erWET+jA4&#10;knCzyIAhtU4P1El4f3u8LoGFqEgr4wgl/GCAdXN+VqtKuyO94rSNHUslFColoY9xrDgPbY9WhYUb&#10;kdJu77xVMUXfce3VMZVbw/MsE9yqgdKFXo340GP7tT1YCeXt8/QZXorNRyv2ZhWvltPTt5fy8mK+&#10;vwMWcY5/MJz0kzo0yWnnDqQDMykLkSf0NKyAJaDISwFsJ2FZlMCbmv//oPkFAAD//wMAUEsBAi0A&#10;FAAGAAgAAAAhALaDOJL+AAAA4QEAABMAAAAAAAAAAAAAAAAAAAAAAFtDb250ZW50X1R5cGVzXS54&#10;bWxQSwECLQAUAAYACAAAACEAOP0h/9YAAACUAQAACwAAAAAAAAAAAAAAAAAvAQAAX3JlbHMvLnJl&#10;bHNQSwECLQAUAAYACAAAACEAwFLThyYCAABJBAAADgAAAAAAAAAAAAAAAAAuAgAAZHJzL2Uyb0Rv&#10;Yy54bWxQSwECLQAUAAYACAAAACEA3J7T+94AAAAJAQAADwAAAAAAAAAAAAAAAACABAAAZHJzL2Rv&#10;d25yZXYueG1sUEsFBgAAAAAEAAQA8wAAAIs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4BB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124460</wp:posOffset>
                </wp:positionV>
                <wp:extent cx="1031240" cy="361315"/>
                <wp:effectExtent l="0" t="0" r="16510" b="19685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2pt;margin-top:9.8pt;width:81.2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olKAIAAFAEAAAOAAAAZHJzL2Uyb0RvYy54bWysVNtu2zAMfR+wfxD0vjh2LmuNOEWXLsOA&#10;7gJ0+wBalmMhsuhJSuzu60fJaZrdXobpQSBN6pA8JL26GVrNjtI6habg6WTKmTQCK2V2Bf/6Zfvq&#10;ijPnwVSg0ciCP0rHb9YvX6z6LpcZNqgraRmBGJf3XcEb77s8SZxoZAtugp00ZKzRtuBJtbukstAT&#10;equTbDpdJj3aqrMopHP09W408nXEr2sp/Ke6dtIzXXDKzcfbxrsMd7JeQb6z0DVKnNKAf8iiBWUo&#10;6BnqDjywg1W/QbVKWHRY+4nANsG6VkLGGqiadPpLNQ8NdDLWQuS47kyT+3+w4uPxs2WqKviSMwMt&#10;tShjXu6dR6bhsAcXKOo7l5PnQ0e+fniDA7U6luu6exR7xwxuGjA7eWst9o2EilJMw8vk4umI4wJI&#10;2X/AimLBwWMEGmrbBv6IEUbo1KrHc3vk4JkIIaezNJuTSZBttkxn6SKGgPzpdWedfyexZUEouKX2&#10;R3Q43jsfsoH8ySUEc6hVtVVaR8Xuyo227Ag0Ktt4Tug/uWnD+oJfL7LFSMBfIabx/AmiVZ5mXqu2&#10;4FdnJ8gDbW9NFSfSg9KjTClrc+IxUDeS6IdyiF2LJAeOS6weiViL44jTSpLQoP3OWU/jXXD37QBW&#10;cqbfG2rOdToPTPqozBevM1LspaW8tIARBFVwz9kobnzcocCbwVtqYq0iv8+ZnFKmsY20n1Ys7MWl&#10;Hr2efwTrHwAAAP//AwBQSwMEFAAGAAgAAAAhAHQlbknfAAAACQEAAA8AAABkcnMvZG93bnJldi54&#10;bWxMj8tOwzAQRfdI/IM1SGwQdUiD24Y4FUICwQ7aCrZu7CYR9jjYbhr+nmEFu7mao/uo1pOzbDQh&#10;9h4l3MwyYAYbr3tsJey2j9dLYDEp1Mp6NBK+TYR1fX5WqVL7E76ZcZNaRiYYSyWhS2koOY9NZ5yK&#10;Mz8YpN/BB6cSydByHdSJzJ3leZYJ7lSPlNCpwTx0pvncHJ2EZfE8fsSX+et7Iw52la4W49NXkPLy&#10;Yrq/A5bMlP5g+K1P1aGmTnt/RB2ZJS3yglA6VgIYAfO8oC17CQtxC7yu+P8F9Q8AAAD//wMAUEsB&#10;Ai0AFAAGAAgAAAAhALaDOJL+AAAA4QEAABMAAAAAAAAAAAAAAAAAAAAAAFtDb250ZW50X1R5cGVz&#10;XS54bWxQSwECLQAUAAYACAAAACEAOP0h/9YAAACUAQAACwAAAAAAAAAAAAAAAAAvAQAAX3JlbHMv&#10;LnJlbHNQSwECLQAUAAYACAAAACEANat6JSgCAABQBAAADgAAAAAAAAAAAAAAAAAuAgAAZHJzL2Uy&#10;b0RvYy54bWxQSwECLQAUAAYACAAAACEAdCVuSd8AAAAJAQAADwAAAAAAAAAAAAAAAACCBAAAZHJz&#10;L2Rvd25yZXYueG1sUEsFBgAAAAAEAAQA8wAAAI4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nedalyvavo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posOffset>1054735</wp:posOffset>
                </wp:positionH>
                <wp:positionV relativeFrom="paragraph">
                  <wp:posOffset>-64770</wp:posOffset>
                </wp:positionV>
                <wp:extent cx="1033145" cy="359410"/>
                <wp:effectExtent l="0" t="0" r="14605" b="21590"/>
                <wp:wrapSquare wrapText="bothSides"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3.05pt;margin-top:-5.1pt;width:81.35pt;height:28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qJ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Iz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NOTNmusD8Sqw3G+aR/p0qL7wVlPs11x/30HTnKmP1pS&#10;ZnZDmWkZklHkVAdn7tJYXxpgBUFVPHA2XpchLVBkwOI9KdioRG6UeqzkWDLNbOL8uF9xKS7t5PXr&#10;X2DxEwAA//8DAFBLAwQUAAYACAAAACEAJTUFCuEAAAAKAQAADwAAAGRycy9kb3ducmV2LnhtbEyP&#10;TUvDQBCG74L/YRnBW7tJLKHEbEotKIhQbfXgcZodk9DsbshuPuqvdzzp8WUe3nnefDObVozU+8ZZ&#10;BfEyAkG2dLqxlYKP98fFGoQPaDW2zpKCC3nYFNdXOWbaTfZA4zFUgkusz1BBHUKXSenLmgz6pevI&#10;8u3L9QYDx76SuseJy00rkyhKpcHG8ocaO9rVVJ6Pg1Hw+RRwe9i9vLbD9/g8nfdvD/tLpdTtzby9&#10;BxFoDn8w/OqzOhTsdHKD1V60nNM0ZlTBIo4SEEzcJWsec1KwSlcgi1z+n1D8AAAA//8DAFBLAQIt&#10;ABQABgAIAAAAIQC2gziS/gAAAOEBAAATAAAAAAAAAAAAAAAAAAAAAABbQ29udGVudF9UeXBlc10u&#10;eG1sUEsBAi0AFAAGAAgAAAAhADj9If/WAAAAlAEAAAsAAAAAAAAAAAAAAAAALwEAAF9yZWxzLy5y&#10;ZWxzUEsBAi0AFAAGAAgAAAAhAF0JqokkAgAATQQAAA4AAAAAAAAAAAAAAAAALgIAAGRycy9lMm9E&#10;b2MueG1sUEsBAi0AFAAGAAgAAAAhACU1BQrhAAAACgEAAA8AAAAAAAAAAAAAAAAAfgQAAGRycy9k&#10;b3ducmV2LnhtbFBLBQYAAAAABAAEAPMAAACMBQAAAAA=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nepriklauso komitetui/komisijai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2336" behindDoc="0" locked="0" layoutInCell="1" allowOverlap="0">
                <wp:simplePos x="0" y="0"/>
                <wp:positionH relativeFrom="column">
                  <wp:posOffset>1033145</wp:posOffset>
                </wp:positionH>
                <wp:positionV relativeFrom="paragraph">
                  <wp:posOffset>100330</wp:posOffset>
                </wp:positionV>
                <wp:extent cx="1033145" cy="359410"/>
                <wp:effectExtent l="0" t="0" r="14605" b="2159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617F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1.35pt;margin-top:7.9pt;width:81.35pt;height:28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Yx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JT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LOTNmusD8Sqw3G+aR/p0qL7wVlPs11x/30HTnKmP1pS&#10;ZnZDmWkZklHkVAdn7tJYXxpgBUFVPHA2XpchLVBkwOI9KdioRG6UeqzkWDLNbOL8uF9xKS7t5PXr&#10;X2DxEwAA//8DAFBLAwQUAAYACAAAACEA1H5Vft8AAAAJAQAADwAAAGRycy9kb3ducmV2LnhtbEyP&#10;S0vDQBDH74LfYRnBm90Y+yJmU2pBQYRqWw8ep8mYhO4jZDeP+uk7nvQ2f+bH/5GuRqNFT62vnVVw&#10;P4lAkM1dUdtSwefh+W4Jwge0BWpnScGZPKyy66sUk8INdkf9PpSCTaxPUEEVQpNI6fOKDPqJa8jy&#10;79u1BgPLtpRFiwObGy3jKJpLg7XlhAob2lSUn/adUfD1EnC927y96+6nfx1O24+n7blU6vZmXD+C&#10;CDSGPxh+63N1yLjT0XW28EKznscLRvmY8QQGHuLZFMRRwSKegsxS+X9BdgEAAP//AwBQSwECLQAU&#10;AAYACAAAACEAtoM4kv4AAADhAQAAEwAAAAAAAAAAAAAAAAAAAAAAW0NvbnRlbnRfVHlwZXNdLnht&#10;bFBLAQItABQABgAIAAAAIQA4/SH/1gAAAJQBAAALAAAAAAAAAAAAAAAAAC8BAABfcmVscy8ucmVs&#10;c1BLAQItABQABgAIAAAAIQDIygYxJAIAAE0EAAAOAAAAAAAAAAAAAAAAAC4CAABkcnMvZTJvRG9j&#10;LnhtbFBLAQItABQABgAIAAAAIQDUflV+3wAAAAkBAAAPAAAAAAAAAAAAAAAAAH4EAABkcnMvZG93&#10;bnJldi54bWxQSwUGAAAAAAQABADzAAAAigUAAAAA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F617F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nėra šio(s) komiteto/komisijos narys, tačiau dalyvavo jame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090554" w:rsidRDefault="00BF617F" w:rsidP="0024518A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__________________________</w:t>
      </w:r>
    </w:p>
    <w:sectPr w:rsidR="00090554" w:rsidSect="002770A5">
      <w:headerReference w:type="default" r:id="rId7"/>
      <w:pgSz w:w="16838" w:h="11906" w:orient="landscape"/>
      <w:pgMar w:top="235" w:right="749" w:bottom="426" w:left="1134" w:header="3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61" w:rsidRDefault="00937F61">
      <w:pPr>
        <w:spacing w:after="0" w:line="240" w:lineRule="auto"/>
      </w:pPr>
      <w:r>
        <w:separator/>
      </w:r>
    </w:p>
  </w:endnote>
  <w:endnote w:type="continuationSeparator" w:id="0">
    <w:p w:rsidR="00937F61" w:rsidRDefault="0093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61" w:rsidRDefault="00937F61">
      <w:pPr>
        <w:spacing w:after="0" w:line="240" w:lineRule="auto"/>
      </w:pPr>
      <w:r>
        <w:separator/>
      </w:r>
    </w:p>
  </w:footnote>
  <w:footnote w:type="continuationSeparator" w:id="0">
    <w:p w:rsidR="00937F61" w:rsidRDefault="0093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A5" w:rsidRDefault="002770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A5099">
      <w:rPr>
        <w:noProof/>
      </w:rPr>
      <w:t>2</w:t>
    </w:r>
    <w:r>
      <w:fldChar w:fldCharType="end"/>
    </w:r>
  </w:p>
  <w:p w:rsidR="002770A5" w:rsidRDefault="002770A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1816"/>
    <w:multiLevelType w:val="hybridMultilevel"/>
    <w:tmpl w:val="D55E3662"/>
    <w:lvl w:ilvl="0" w:tplc="A07A1480">
      <w:start w:val="2015"/>
      <w:numFmt w:val="bullet"/>
      <w:lvlText w:val="–"/>
      <w:lvlJc w:val="left"/>
      <w:pPr>
        <w:ind w:left="390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F"/>
    <w:rsid w:val="000111A8"/>
    <w:rsid w:val="00080FCD"/>
    <w:rsid w:val="00090554"/>
    <w:rsid w:val="000915E3"/>
    <w:rsid w:val="000A5E43"/>
    <w:rsid w:val="000D10E5"/>
    <w:rsid w:val="000E24A7"/>
    <w:rsid w:val="000F2B41"/>
    <w:rsid w:val="000F3719"/>
    <w:rsid w:val="0011612B"/>
    <w:rsid w:val="00117879"/>
    <w:rsid w:val="001308FB"/>
    <w:rsid w:val="00164351"/>
    <w:rsid w:val="001B5764"/>
    <w:rsid w:val="001D1E9A"/>
    <w:rsid w:val="001E0FBF"/>
    <w:rsid w:val="001F5C83"/>
    <w:rsid w:val="00234B89"/>
    <w:rsid w:val="0024518A"/>
    <w:rsid w:val="002643C0"/>
    <w:rsid w:val="002649BF"/>
    <w:rsid w:val="002770A5"/>
    <w:rsid w:val="00277C09"/>
    <w:rsid w:val="002835FB"/>
    <w:rsid w:val="002B7C97"/>
    <w:rsid w:val="002E429A"/>
    <w:rsid w:val="00302BAA"/>
    <w:rsid w:val="00305708"/>
    <w:rsid w:val="00325BAE"/>
    <w:rsid w:val="00334455"/>
    <w:rsid w:val="00350D4A"/>
    <w:rsid w:val="00372E1F"/>
    <w:rsid w:val="00373F0D"/>
    <w:rsid w:val="00386F28"/>
    <w:rsid w:val="00387A42"/>
    <w:rsid w:val="003A3557"/>
    <w:rsid w:val="003C377D"/>
    <w:rsid w:val="003F3F47"/>
    <w:rsid w:val="00403D67"/>
    <w:rsid w:val="00454216"/>
    <w:rsid w:val="0045652C"/>
    <w:rsid w:val="004640A3"/>
    <w:rsid w:val="004759CF"/>
    <w:rsid w:val="004A6B31"/>
    <w:rsid w:val="004D1C13"/>
    <w:rsid w:val="00520CE5"/>
    <w:rsid w:val="00526EA9"/>
    <w:rsid w:val="00532C10"/>
    <w:rsid w:val="00555A9E"/>
    <w:rsid w:val="00581E40"/>
    <w:rsid w:val="005B2F69"/>
    <w:rsid w:val="005E521B"/>
    <w:rsid w:val="006056FE"/>
    <w:rsid w:val="00613640"/>
    <w:rsid w:val="00646AA1"/>
    <w:rsid w:val="00656095"/>
    <w:rsid w:val="006628F6"/>
    <w:rsid w:val="00672A9D"/>
    <w:rsid w:val="006A43B5"/>
    <w:rsid w:val="006B7D67"/>
    <w:rsid w:val="006C63D3"/>
    <w:rsid w:val="006C673A"/>
    <w:rsid w:val="0074725D"/>
    <w:rsid w:val="00751688"/>
    <w:rsid w:val="007756ED"/>
    <w:rsid w:val="00784504"/>
    <w:rsid w:val="007936A3"/>
    <w:rsid w:val="007A69DB"/>
    <w:rsid w:val="007D3DA4"/>
    <w:rsid w:val="00804346"/>
    <w:rsid w:val="008106D4"/>
    <w:rsid w:val="0081220B"/>
    <w:rsid w:val="00874F26"/>
    <w:rsid w:val="00876744"/>
    <w:rsid w:val="008F0F6A"/>
    <w:rsid w:val="008F5570"/>
    <w:rsid w:val="0090704D"/>
    <w:rsid w:val="00936807"/>
    <w:rsid w:val="00937F61"/>
    <w:rsid w:val="009408CC"/>
    <w:rsid w:val="009563E6"/>
    <w:rsid w:val="0096393D"/>
    <w:rsid w:val="00984994"/>
    <w:rsid w:val="009A671B"/>
    <w:rsid w:val="00A0316D"/>
    <w:rsid w:val="00A1045F"/>
    <w:rsid w:val="00A1460E"/>
    <w:rsid w:val="00A1629D"/>
    <w:rsid w:val="00A25889"/>
    <w:rsid w:val="00A40364"/>
    <w:rsid w:val="00A41123"/>
    <w:rsid w:val="00A4352B"/>
    <w:rsid w:val="00A44CB8"/>
    <w:rsid w:val="00A46E1B"/>
    <w:rsid w:val="00A76D1C"/>
    <w:rsid w:val="00AE077A"/>
    <w:rsid w:val="00AE088D"/>
    <w:rsid w:val="00AE3471"/>
    <w:rsid w:val="00AE41E2"/>
    <w:rsid w:val="00AF647F"/>
    <w:rsid w:val="00B312F2"/>
    <w:rsid w:val="00B87A56"/>
    <w:rsid w:val="00B926B5"/>
    <w:rsid w:val="00BD0115"/>
    <w:rsid w:val="00BE36A2"/>
    <w:rsid w:val="00BF0CAD"/>
    <w:rsid w:val="00BF617F"/>
    <w:rsid w:val="00C30EFC"/>
    <w:rsid w:val="00C477A7"/>
    <w:rsid w:val="00C5247E"/>
    <w:rsid w:val="00C52D90"/>
    <w:rsid w:val="00C53E75"/>
    <w:rsid w:val="00C66055"/>
    <w:rsid w:val="00C72AB3"/>
    <w:rsid w:val="00C7735A"/>
    <w:rsid w:val="00C9233C"/>
    <w:rsid w:val="00CA1187"/>
    <w:rsid w:val="00D02631"/>
    <w:rsid w:val="00D10C20"/>
    <w:rsid w:val="00D12025"/>
    <w:rsid w:val="00D257EF"/>
    <w:rsid w:val="00D26642"/>
    <w:rsid w:val="00D37A9A"/>
    <w:rsid w:val="00D440A6"/>
    <w:rsid w:val="00D47ABC"/>
    <w:rsid w:val="00D55505"/>
    <w:rsid w:val="00D6205B"/>
    <w:rsid w:val="00D717E0"/>
    <w:rsid w:val="00D9015E"/>
    <w:rsid w:val="00DA0E8A"/>
    <w:rsid w:val="00DA5099"/>
    <w:rsid w:val="00DB178B"/>
    <w:rsid w:val="00DB44F8"/>
    <w:rsid w:val="00DB468E"/>
    <w:rsid w:val="00DC4DAC"/>
    <w:rsid w:val="00DC7B9A"/>
    <w:rsid w:val="00DE748C"/>
    <w:rsid w:val="00E104FA"/>
    <w:rsid w:val="00E26E9C"/>
    <w:rsid w:val="00E30AD0"/>
    <w:rsid w:val="00E42857"/>
    <w:rsid w:val="00E54285"/>
    <w:rsid w:val="00E80529"/>
    <w:rsid w:val="00E95FD0"/>
    <w:rsid w:val="00EA1D2C"/>
    <w:rsid w:val="00EB3C80"/>
    <w:rsid w:val="00EB3DB6"/>
    <w:rsid w:val="00ED6006"/>
    <w:rsid w:val="00EE752C"/>
    <w:rsid w:val="00F10AC0"/>
    <w:rsid w:val="00F13FF8"/>
    <w:rsid w:val="00F149F8"/>
    <w:rsid w:val="00F1741A"/>
    <w:rsid w:val="00F54DB0"/>
    <w:rsid w:val="00F60551"/>
    <w:rsid w:val="00F776ED"/>
    <w:rsid w:val="00F8164C"/>
    <w:rsid w:val="00FB194D"/>
    <w:rsid w:val="00FC1A84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D0B4-8487-471C-AAD5-B941167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F617F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F61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15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3643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Čerkesienė</dc:creator>
  <cp:keywords/>
  <dc:description/>
  <cp:lastModifiedBy>Violeta Valančienė</cp:lastModifiedBy>
  <cp:revision>2</cp:revision>
  <cp:lastPrinted>2018-08-06T08:23:00Z</cp:lastPrinted>
  <dcterms:created xsi:type="dcterms:W3CDTF">2018-09-07T10:25:00Z</dcterms:created>
  <dcterms:modified xsi:type="dcterms:W3CDTF">2018-09-07T10:25:00Z</dcterms:modified>
</cp:coreProperties>
</file>